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1"/>
        <w:tblW w:w="0" w:type="auto"/>
        <w:tblLook w:val="04A0" w:firstRow="1" w:lastRow="0" w:firstColumn="1" w:lastColumn="0" w:noHBand="0" w:noVBand="1"/>
      </w:tblPr>
      <w:tblGrid>
        <w:gridCol w:w="2093"/>
        <w:gridCol w:w="6924"/>
      </w:tblGrid>
      <w:tr w:rsidR="00B2672A" w:rsidRPr="000D3801" w14:paraId="219AD7C3" w14:textId="77777777" w:rsidTr="1F368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3A1C67D2" w14:textId="77777777" w:rsidR="00B2672A" w:rsidRPr="000D3801" w:rsidRDefault="00B2672A" w:rsidP="0014668C">
            <w:pPr>
              <w:spacing w:line="276" w:lineRule="auto"/>
              <w:rPr>
                <w:bCs w:val="0"/>
              </w:rPr>
            </w:pPr>
            <w:r w:rsidRPr="000D3801">
              <w:rPr>
                <w:bCs w:val="0"/>
              </w:rPr>
              <w:t>Workstream 1: Accounting</w:t>
            </w:r>
            <w:r>
              <w:rPr>
                <w:bCs w:val="0"/>
              </w:rPr>
              <w:t xml:space="preserve"> </w:t>
            </w:r>
          </w:p>
        </w:tc>
      </w:tr>
      <w:tr w:rsidR="00B2672A" w14:paraId="0F0A1098" w14:textId="77777777" w:rsidTr="1F368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61F6253D" w14:textId="77777777" w:rsidR="00B2672A" w:rsidRPr="00D739AF" w:rsidRDefault="00B2672A" w:rsidP="0014668C">
            <w:pPr>
              <w:spacing w:line="276" w:lineRule="auto"/>
              <w:rPr>
                <w:bCs w:val="0"/>
                <w:sz w:val="20"/>
                <w:szCs w:val="20"/>
              </w:rPr>
            </w:pPr>
            <w:r w:rsidRPr="00D739AF">
              <w:rPr>
                <w:bCs w:val="0"/>
                <w:sz w:val="20"/>
                <w:szCs w:val="20"/>
              </w:rPr>
              <w:t>Brief description</w:t>
            </w:r>
          </w:p>
          <w:p w14:paraId="31512350" w14:textId="77777777" w:rsidR="00B2672A" w:rsidRDefault="00B2672A" w:rsidP="0014668C">
            <w:pPr>
              <w:rPr>
                <w:b w:val="0"/>
                <w:bCs w:val="0"/>
              </w:rPr>
            </w:pPr>
            <w:r>
              <w:rPr>
                <w:b w:val="0"/>
                <w:bCs w:val="0"/>
                <w:sz w:val="20"/>
                <w:szCs w:val="20"/>
              </w:rPr>
              <w:t>This workstream focuses on the</w:t>
            </w:r>
            <w:r w:rsidRPr="00D739AF">
              <w:rPr>
                <w:b w:val="0"/>
                <w:bCs w:val="0"/>
                <w:sz w:val="20"/>
                <w:szCs w:val="20"/>
              </w:rPr>
              <w:t xml:space="preserve"> </w:t>
            </w:r>
            <w:r>
              <w:rPr>
                <w:b w:val="0"/>
                <w:bCs w:val="0"/>
                <w:sz w:val="20"/>
                <w:szCs w:val="20"/>
              </w:rPr>
              <w:t>links</w:t>
            </w:r>
            <w:r w:rsidRPr="00D739AF">
              <w:rPr>
                <w:b w:val="0"/>
                <w:bCs w:val="0"/>
                <w:sz w:val="20"/>
                <w:szCs w:val="20"/>
              </w:rPr>
              <w:t xml:space="preserve"> between natural capital accounting </w:t>
            </w:r>
            <w:r>
              <w:rPr>
                <w:b w:val="0"/>
                <w:bCs w:val="0"/>
                <w:sz w:val="20"/>
                <w:szCs w:val="20"/>
              </w:rPr>
              <w:t xml:space="preserve">by governments and the private sector, </w:t>
            </w:r>
            <w:r w:rsidRPr="00D739AF">
              <w:rPr>
                <w:b w:val="0"/>
                <w:bCs w:val="0"/>
                <w:sz w:val="20"/>
                <w:szCs w:val="20"/>
              </w:rPr>
              <w:t xml:space="preserve">using existing frameworks </w:t>
            </w:r>
            <w:r>
              <w:rPr>
                <w:b w:val="0"/>
                <w:bCs w:val="0"/>
                <w:sz w:val="20"/>
                <w:szCs w:val="20"/>
              </w:rPr>
              <w:t xml:space="preserve">such as the </w:t>
            </w:r>
            <w:r w:rsidRPr="00D739AF">
              <w:rPr>
                <w:b w:val="0"/>
                <w:bCs w:val="0"/>
                <w:sz w:val="20"/>
                <w:szCs w:val="20"/>
              </w:rPr>
              <w:t>UN-SEEA</w:t>
            </w:r>
            <w:r>
              <w:rPr>
                <w:b w:val="0"/>
                <w:bCs w:val="0"/>
                <w:sz w:val="20"/>
                <w:szCs w:val="20"/>
              </w:rPr>
              <w:t xml:space="preserve"> (governments)</w:t>
            </w:r>
            <w:r w:rsidRPr="00D739AF">
              <w:rPr>
                <w:b w:val="0"/>
                <w:bCs w:val="0"/>
                <w:sz w:val="20"/>
                <w:szCs w:val="20"/>
              </w:rPr>
              <w:t xml:space="preserve"> and the Natural Capital Protocol</w:t>
            </w:r>
            <w:r>
              <w:rPr>
                <w:b w:val="0"/>
                <w:bCs w:val="0"/>
                <w:sz w:val="20"/>
                <w:szCs w:val="20"/>
              </w:rPr>
              <w:t xml:space="preserve"> (business)</w:t>
            </w:r>
            <w:r w:rsidRPr="00D739AF">
              <w:rPr>
                <w:b w:val="0"/>
                <w:bCs w:val="0"/>
                <w:sz w:val="20"/>
                <w:szCs w:val="20"/>
              </w:rPr>
              <w:t>. This issue is also addressed in the paper ‘Combining forces on Natural Capital’ that the Natural Capital Coalition and IDEEA-Group launched at the World Forum: “While it’s true that businesses and governments often have different aims when it comes to natural capital approaches, and are attempting to capture different kinds of information, it’s clear that the work undertaken by governments can be hugely useful to that of businesses, and vice versa.”</w:t>
            </w:r>
            <w:r w:rsidRPr="00D739AF">
              <w:rPr>
                <w:rStyle w:val="Voetnootmarkering"/>
                <w:b w:val="0"/>
                <w:bCs w:val="0"/>
                <w:sz w:val="20"/>
                <w:szCs w:val="20"/>
              </w:rPr>
              <w:t xml:space="preserve"> </w:t>
            </w:r>
            <w:r w:rsidRPr="00D739AF">
              <w:rPr>
                <w:rStyle w:val="Voetnootmarkering"/>
                <w:b w:val="0"/>
                <w:bCs w:val="0"/>
                <w:sz w:val="20"/>
                <w:szCs w:val="20"/>
              </w:rPr>
              <w:footnoteReference w:id="1"/>
            </w:r>
            <w:r w:rsidRPr="00D739AF">
              <w:rPr>
                <w:b w:val="0"/>
                <w:bCs w:val="0"/>
                <w:sz w:val="20"/>
                <w:szCs w:val="20"/>
              </w:rPr>
              <w:t xml:space="preserve"> By exploring  how national and corporate approaches could be linked and business and government could complement and challenge each other, quality and availability of data on natural capital impacts and dependencies can be improved.</w:t>
            </w:r>
            <w:r w:rsidRPr="00D739AF">
              <w:rPr>
                <w:b w:val="0"/>
                <w:bCs w:val="0"/>
              </w:rPr>
              <w:t xml:space="preserve"> </w:t>
            </w:r>
          </w:p>
          <w:p w14:paraId="672A6659" w14:textId="77777777" w:rsidR="00B2672A" w:rsidRPr="00D739AF" w:rsidRDefault="00B2672A" w:rsidP="0014668C">
            <w:pPr>
              <w:rPr>
                <w:b w:val="0"/>
                <w:bCs w:val="0"/>
              </w:rPr>
            </w:pPr>
          </w:p>
        </w:tc>
      </w:tr>
      <w:tr w:rsidR="00B2672A" w14:paraId="1302264B" w14:textId="77777777" w:rsidTr="1F368E1D">
        <w:tc>
          <w:tcPr>
            <w:cnfStyle w:val="001000000000" w:firstRow="0" w:lastRow="0" w:firstColumn="1" w:lastColumn="0" w:oddVBand="0" w:evenVBand="0" w:oddHBand="0" w:evenHBand="0" w:firstRowFirstColumn="0" w:firstRowLastColumn="0" w:lastRowFirstColumn="0" w:lastRowLastColumn="0"/>
            <w:tcW w:w="9017" w:type="dxa"/>
            <w:gridSpan w:val="2"/>
          </w:tcPr>
          <w:p w14:paraId="10F97157" w14:textId="77777777" w:rsidR="00B2672A" w:rsidRPr="00D739AF" w:rsidRDefault="00B2672A" w:rsidP="0014668C">
            <w:pPr>
              <w:spacing w:line="276" w:lineRule="auto"/>
              <w:rPr>
                <w:bCs w:val="0"/>
                <w:sz w:val="20"/>
                <w:szCs w:val="20"/>
              </w:rPr>
            </w:pPr>
            <w:r w:rsidRPr="00D739AF">
              <w:rPr>
                <w:bCs w:val="0"/>
                <w:sz w:val="20"/>
                <w:szCs w:val="20"/>
              </w:rPr>
              <w:t>Possible actions</w:t>
            </w:r>
          </w:p>
          <w:p w14:paraId="152410F6" w14:textId="77777777" w:rsidR="00B2672A" w:rsidRPr="00D739AF" w:rsidRDefault="00B2672A" w:rsidP="00B2672A">
            <w:pPr>
              <w:pStyle w:val="Lijstalinea"/>
              <w:numPr>
                <w:ilvl w:val="0"/>
                <w:numId w:val="1"/>
              </w:numPr>
              <w:spacing w:before="40" w:after="40"/>
              <w:rPr>
                <w:b w:val="0"/>
                <w:bCs w:val="0"/>
                <w:sz w:val="20"/>
                <w:szCs w:val="20"/>
              </w:rPr>
            </w:pPr>
            <w:r w:rsidRPr="00D739AF">
              <w:rPr>
                <w:b w:val="0"/>
                <w:bCs w:val="0"/>
                <w:sz w:val="20"/>
                <w:szCs w:val="20"/>
              </w:rPr>
              <w:t>Share country or regional experiences in linking business and government experiences with natural capital accounting practice</w:t>
            </w:r>
          </w:p>
          <w:p w14:paraId="7576E55B" w14:textId="77777777" w:rsidR="00B2672A" w:rsidRPr="009306ED" w:rsidRDefault="00B2672A" w:rsidP="00B2672A">
            <w:pPr>
              <w:pStyle w:val="Lijstalinea"/>
              <w:numPr>
                <w:ilvl w:val="0"/>
                <w:numId w:val="1"/>
              </w:numPr>
              <w:spacing w:before="40" w:after="40"/>
              <w:rPr>
                <w:b w:val="0"/>
                <w:bCs w:val="0"/>
                <w:sz w:val="20"/>
                <w:szCs w:val="20"/>
              </w:rPr>
            </w:pPr>
            <w:r w:rsidRPr="00D739AF">
              <w:rPr>
                <w:b w:val="0"/>
                <w:bCs w:val="0"/>
                <w:sz w:val="20"/>
                <w:szCs w:val="20"/>
              </w:rPr>
              <w:t>Strengthen collaboration with Natural Capital Coalition, IDEEA-Group</w:t>
            </w:r>
            <w:r>
              <w:rPr>
                <w:b w:val="0"/>
                <w:bCs w:val="0"/>
                <w:sz w:val="20"/>
                <w:szCs w:val="20"/>
              </w:rPr>
              <w:t>, WAVES Program</w:t>
            </w:r>
            <w:r w:rsidRPr="00D739AF">
              <w:rPr>
                <w:b w:val="0"/>
                <w:bCs w:val="0"/>
                <w:sz w:val="20"/>
                <w:szCs w:val="20"/>
              </w:rPr>
              <w:t xml:space="preserve"> and others in the context of the ‘Combining Forces’ initiative</w:t>
            </w:r>
            <w:r w:rsidRPr="009306ED">
              <w:rPr>
                <w:sz w:val="20"/>
                <w:szCs w:val="20"/>
              </w:rPr>
              <w:t xml:space="preserve"> </w:t>
            </w:r>
          </w:p>
          <w:p w14:paraId="7384B7B1" w14:textId="77777777" w:rsidR="00B2672A" w:rsidRPr="00D739AF" w:rsidRDefault="00B2672A" w:rsidP="00B2672A">
            <w:pPr>
              <w:pStyle w:val="Lijstalinea"/>
              <w:numPr>
                <w:ilvl w:val="0"/>
                <w:numId w:val="1"/>
              </w:numPr>
              <w:spacing w:before="40" w:after="40"/>
              <w:rPr>
                <w:sz w:val="20"/>
                <w:szCs w:val="20"/>
              </w:rPr>
            </w:pPr>
            <w:r w:rsidRPr="00D739AF">
              <w:rPr>
                <w:b w:val="0"/>
                <w:bCs w:val="0"/>
                <w:sz w:val="20"/>
                <w:szCs w:val="20"/>
              </w:rPr>
              <w:t>Determine how data from national accounts and corporate natural capital assessment can be integrated, such that their interaction can be measured.</w:t>
            </w:r>
            <w:r>
              <w:rPr>
                <w:b w:val="0"/>
                <w:bCs w:val="0"/>
                <w:sz w:val="20"/>
                <w:szCs w:val="20"/>
              </w:rPr>
              <w:br/>
            </w:r>
          </w:p>
        </w:tc>
      </w:tr>
      <w:tr w:rsidR="00684B09" w14:paraId="1A18034F" w14:textId="77777777" w:rsidTr="1F368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il"/>
            </w:tcBorders>
          </w:tcPr>
          <w:p w14:paraId="1992AB6B" w14:textId="77777777" w:rsidR="00684B09" w:rsidRDefault="00684B09" w:rsidP="00CC2A14">
            <w:pPr>
              <w:spacing w:line="276" w:lineRule="auto"/>
              <w:rPr>
                <w:bCs w:val="0"/>
                <w:sz w:val="20"/>
                <w:szCs w:val="20"/>
              </w:rPr>
            </w:pPr>
            <w:r w:rsidRPr="00D739AF">
              <w:rPr>
                <w:bCs w:val="0"/>
                <w:sz w:val="20"/>
                <w:szCs w:val="20"/>
              </w:rPr>
              <w:t>Working Group</w:t>
            </w:r>
          </w:p>
          <w:p w14:paraId="2AC6F32D" w14:textId="77777777" w:rsidR="00684B09" w:rsidRPr="008802E0" w:rsidRDefault="00684B09" w:rsidP="00CC2A14">
            <w:pPr>
              <w:spacing w:line="276" w:lineRule="auto"/>
              <w:rPr>
                <w:b w:val="0"/>
                <w:i/>
                <w:sz w:val="20"/>
                <w:szCs w:val="20"/>
              </w:rPr>
            </w:pPr>
            <w:r w:rsidRPr="008802E0">
              <w:rPr>
                <w:b w:val="0"/>
                <w:i/>
                <w:sz w:val="20"/>
                <w:szCs w:val="20"/>
              </w:rPr>
              <w:t xml:space="preserve">Lead-country </w:t>
            </w:r>
          </w:p>
          <w:p w14:paraId="2D6BCDE1" w14:textId="77777777" w:rsidR="00684B09" w:rsidRPr="008802E0" w:rsidRDefault="00684B09" w:rsidP="00CC2A14">
            <w:pPr>
              <w:spacing w:line="276" w:lineRule="auto"/>
              <w:rPr>
                <w:b w:val="0"/>
                <w:i/>
                <w:sz w:val="20"/>
                <w:szCs w:val="20"/>
              </w:rPr>
            </w:pPr>
            <w:r w:rsidRPr="008802E0">
              <w:rPr>
                <w:b w:val="0"/>
                <w:i/>
                <w:sz w:val="20"/>
                <w:szCs w:val="20"/>
              </w:rPr>
              <w:t>Lead-partner</w:t>
            </w:r>
          </w:p>
          <w:p w14:paraId="5DAB6C7B" w14:textId="1BC603FC" w:rsidR="00684B09" w:rsidRPr="00D739AF" w:rsidRDefault="00684B09" w:rsidP="0014668C">
            <w:pPr>
              <w:spacing w:line="276" w:lineRule="auto"/>
              <w:rPr>
                <w:b w:val="0"/>
                <w:sz w:val="20"/>
                <w:szCs w:val="20"/>
              </w:rPr>
            </w:pPr>
            <w:r w:rsidRPr="008802E0">
              <w:rPr>
                <w:b w:val="0"/>
                <w:i/>
                <w:sz w:val="20"/>
                <w:szCs w:val="20"/>
              </w:rPr>
              <w:t>Participants</w:t>
            </w:r>
          </w:p>
        </w:tc>
        <w:tc>
          <w:tcPr>
            <w:tcW w:w="6924" w:type="dxa"/>
            <w:tcBorders>
              <w:left w:val="nil"/>
            </w:tcBorders>
          </w:tcPr>
          <w:p w14:paraId="3A59B8B3" w14:textId="77777777" w:rsidR="00684B09" w:rsidRDefault="00684B09"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p>
          <w:p w14:paraId="1F0F7EA6" w14:textId="77777777" w:rsidR="00684B09" w:rsidRDefault="00684B09"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Australia</w:t>
            </w:r>
          </w:p>
          <w:p w14:paraId="307A750E" w14:textId="77777777" w:rsidR="00684B09" w:rsidRDefault="00684B09"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ICAEW </w:t>
            </w:r>
          </w:p>
          <w:p w14:paraId="64E97040" w14:textId="77777777" w:rsidR="00684B09" w:rsidRPr="00AE1695" w:rsidRDefault="00684B09"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AE1695">
              <w:rPr>
                <w:bCs/>
                <w:sz w:val="20"/>
                <w:szCs w:val="20"/>
              </w:rPr>
              <w:t>Botswana, France, Ghana, Japan, Netherlands, Nigeria, South Africa</w:t>
            </w:r>
          </w:p>
          <w:p w14:paraId="677EA99A" w14:textId="6A84431B" w:rsidR="00684B09" w:rsidRPr="00D739AF" w:rsidRDefault="00684B09" w:rsidP="008D667F">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AE1695">
              <w:rPr>
                <w:bCs/>
                <w:sz w:val="20"/>
                <w:szCs w:val="20"/>
              </w:rPr>
              <w:t>European Commission, GDSA, IUCN, Natural Capital Coalition</w:t>
            </w:r>
            <w:r w:rsidRPr="00AE1695" w:rsidDel="00AE1695">
              <w:rPr>
                <w:bCs/>
                <w:sz w:val="20"/>
                <w:szCs w:val="20"/>
              </w:rPr>
              <w:t xml:space="preserve"> </w:t>
            </w:r>
          </w:p>
        </w:tc>
      </w:tr>
      <w:tr w:rsidR="00B2672A" w14:paraId="042E2FFE" w14:textId="77777777" w:rsidTr="1F368E1D">
        <w:tc>
          <w:tcPr>
            <w:cnfStyle w:val="001000000000" w:firstRow="0" w:lastRow="0" w:firstColumn="1" w:lastColumn="0" w:oddVBand="0" w:evenVBand="0" w:oddHBand="0" w:evenHBand="0" w:firstRowFirstColumn="0" w:firstRowLastColumn="0" w:lastRowFirstColumn="0" w:lastRowLastColumn="0"/>
            <w:tcW w:w="9017" w:type="dxa"/>
            <w:gridSpan w:val="2"/>
          </w:tcPr>
          <w:p w14:paraId="446C5AC2" w14:textId="77777777" w:rsidR="00B2672A" w:rsidRDefault="00B2672A" w:rsidP="0014668C">
            <w:pPr>
              <w:spacing w:line="276" w:lineRule="auto"/>
              <w:rPr>
                <w:bCs w:val="0"/>
                <w:sz w:val="20"/>
                <w:szCs w:val="20"/>
              </w:rPr>
            </w:pPr>
            <w:r>
              <w:rPr>
                <w:bCs w:val="0"/>
                <w:sz w:val="20"/>
                <w:szCs w:val="20"/>
              </w:rPr>
              <w:t>Governments and partners to be informed</w:t>
            </w:r>
          </w:p>
          <w:p w14:paraId="28CB1FA5" w14:textId="49E1B176" w:rsidR="00B2672A" w:rsidRPr="0029050B" w:rsidRDefault="1F368E1D" w:rsidP="0014668C">
            <w:pPr>
              <w:spacing w:line="276" w:lineRule="auto"/>
              <w:rPr>
                <w:b w:val="0"/>
                <w:bCs w:val="0"/>
                <w:sz w:val="19"/>
                <w:szCs w:val="19"/>
              </w:rPr>
            </w:pPr>
            <w:bookmarkStart w:id="0" w:name="_GoBack"/>
            <w:bookmarkEnd w:id="0"/>
            <w:r w:rsidRPr="1F368E1D">
              <w:rPr>
                <w:b w:val="0"/>
                <w:bCs w:val="0"/>
                <w:sz w:val="19"/>
                <w:szCs w:val="19"/>
              </w:rPr>
              <w:t>Malaysia, Namibia, United Kingdom</w:t>
            </w:r>
          </w:p>
          <w:p w14:paraId="5047FEC9" w14:textId="77777777" w:rsidR="00B2672A" w:rsidRDefault="00B2672A" w:rsidP="0014668C">
            <w:pPr>
              <w:spacing w:line="276" w:lineRule="auto"/>
              <w:rPr>
                <w:b w:val="0"/>
                <w:bCs w:val="0"/>
                <w:sz w:val="19"/>
                <w:szCs w:val="19"/>
              </w:rPr>
            </w:pPr>
            <w:r w:rsidRPr="0029050B">
              <w:rPr>
                <w:b w:val="0"/>
                <w:bCs w:val="0"/>
                <w:sz w:val="19"/>
                <w:szCs w:val="19"/>
              </w:rPr>
              <w:t>Green Economy Coalition</w:t>
            </w:r>
          </w:p>
          <w:p w14:paraId="41C8F396" w14:textId="77777777" w:rsidR="00B2672A" w:rsidRPr="00D739AF" w:rsidRDefault="00B2672A" w:rsidP="0014668C">
            <w:pPr>
              <w:spacing w:line="276" w:lineRule="auto"/>
              <w:rPr>
                <w:bCs w:val="0"/>
                <w:sz w:val="20"/>
                <w:szCs w:val="20"/>
              </w:rPr>
            </w:pPr>
          </w:p>
        </w:tc>
      </w:tr>
      <w:tr w:rsidR="00B2672A" w14:paraId="751D4A04" w14:textId="77777777" w:rsidTr="1F368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55300736" w14:textId="77777777" w:rsidR="00B2672A" w:rsidRDefault="00B2672A" w:rsidP="0014668C">
            <w:pPr>
              <w:spacing w:line="276" w:lineRule="auto"/>
              <w:rPr>
                <w:bCs w:val="0"/>
                <w:sz w:val="20"/>
                <w:szCs w:val="20"/>
              </w:rPr>
            </w:pPr>
            <w:r w:rsidRPr="00D739AF">
              <w:rPr>
                <w:bCs w:val="0"/>
                <w:sz w:val="20"/>
                <w:szCs w:val="20"/>
              </w:rPr>
              <w:t>Contact</w:t>
            </w:r>
          </w:p>
          <w:p w14:paraId="666491B3" w14:textId="77777777" w:rsidR="00B2672A" w:rsidRDefault="00B2672A" w:rsidP="0014668C">
            <w:pPr>
              <w:spacing w:line="276" w:lineRule="auto"/>
              <w:rPr>
                <w:b w:val="0"/>
                <w:sz w:val="20"/>
                <w:szCs w:val="20"/>
              </w:rPr>
            </w:pPr>
            <w:r w:rsidRPr="00A15D3A">
              <w:rPr>
                <w:b w:val="0"/>
                <w:sz w:val="20"/>
                <w:szCs w:val="20"/>
              </w:rPr>
              <w:t>If you want to engage in this workstream, please send an email to</w:t>
            </w:r>
            <w:r>
              <w:rPr>
                <w:b w:val="0"/>
                <w:sz w:val="20"/>
                <w:szCs w:val="20"/>
              </w:rPr>
              <w:t>:</w:t>
            </w:r>
            <w:r w:rsidRPr="00A15D3A">
              <w:rPr>
                <w:b w:val="0"/>
                <w:sz w:val="20"/>
                <w:szCs w:val="20"/>
              </w:rPr>
              <w:t xml:space="preserve"> </w:t>
            </w:r>
          </w:p>
          <w:p w14:paraId="72D77683" w14:textId="77777777" w:rsidR="00B2672A" w:rsidRDefault="00684B09" w:rsidP="0014668C">
            <w:pPr>
              <w:spacing w:line="276" w:lineRule="auto"/>
              <w:rPr>
                <w:b w:val="0"/>
                <w:sz w:val="20"/>
                <w:szCs w:val="20"/>
              </w:rPr>
            </w:pPr>
            <w:hyperlink r:id="rId8" w:history="1">
              <w:r w:rsidR="00B2672A" w:rsidRPr="00C04DB7">
                <w:rPr>
                  <w:rStyle w:val="Hyperlink"/>
                  <w:sz w:val="20"/>
                  <w:szCs w:val="20"/>
                </w:rPr>
                <w:t>Sarah-Jane.Hindmarsh@environment.gov.au</w:t>
              </w:r>
            </w:hyperlink>
          </w:p>
          <w:p w14:paraId="4D88300B" w14:textId="77777777" w:rsidR="00B2672A" w:rsidRPr="00A15D3A" w:rsidRDefault="00684B09" w:rsidP="0014668C">
            <w:pPr>
              <w:spacing w:line="276" w:lineRule="auto"/>
              <w:rPr>
                <w:b w:val="0"/>
                <w:sz w:val="20"/>
                <w:szCs w:val="20"/>
              </w:rPr>
            </w:pPr>
            <w:hyperlink r:id="rId9" w:history="1">
              <w:r w:rsidR="00B2672A" w:rsidRPr="00C04DB7">
                <w:rPr>
                  <w:rStyle w:val="Hyperlink"/>
                  <w:sz w:val="20"/>
                  <w:szCs w:val="20"/>
                </w:rPr>
                <w:t>richard.spencer@icaew.com</w:t>
              </w:r>
            </w:hyperlink>
            <w:r w:rsidR="00B2672A">
              <w:rPr>
                <w:b w:val="0"/>
                <w:sz w:val="20"/>
                <w:szCs w:val="20"/>
              </w:rPr>
              <w:t xml:space="preserve"> </w:t>
            </w:r>
            <w:r w:rsidR="00B2672A">
              <w:rPr>
                <w:b w:val="0"/>
                <w:sz w:val="20"/>
                <w:szCs w:val="20"/>
              </w:rPr>
              <w:br/>
            </w:r>
          </w:p>
        </w:tc>
      </w:tr>
    </w:tbl>
    <w:p w14:paraId="72A3D3EC" w14:textId="77777777" w:rsidR="00D97CBF" w:rsidRDefault="00D97CBF">
      <w:pPr>
        <w:rPr>
          <w:rFonts w:ascii="Verdana" w:hAnsi="Verdana"/>
          <w:sz w:val="18"/>
          <w:szCs w:val="18"/>
          <w:lang w:val="nl-NL"/>
        </w:rPr>
      </w:pPr>
    </w:p>
    <w:p w14:paraId="0D0B940D" w14:textId="77777777" w:rsidR="00847AD9" w:rsidRPr="00CE2DC4" w:rsidRDefault="00847AD9">
      <w:pPr>
        <w:rPr>
          <w:rFonts w:ascii="Verdana" w:hAnsi="Verdana"/>
          <w:sz w:val="18"/>
          <w:szCs w:val="18"/>
          <w:lang w:val="nl-NL"/>
        </w:rPr>
      </w:pPr>
    </w:p>
    <w:sectPr w:rsidR="00847AD9" w:rsidRPr="00CE2DC4" w:rsidSect="00300E3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B00A" w14:textId="77777777" w:rsidR="00B2672A" w:rsidRDefault="00B2672A" w:rsidP="00B2672A">
      <w:pPr>
        <w:spacing w:line="240" w:lineRule="auto"/>
      </w:pPr>
      <w:r>
        <w:separator/>
      </w:r>
    </w:p>
  </w:endnote>
  <w:endnote w:type="continuationSeparator" w:id="0">
    <w:p w14:paraId="60061E4C" w14:textId="77777777" w:rsidR="00B2672A" w:rsidRDefault="00B2672A" w:rsidP="00B26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FD9C" w14:textId="77777777" w:rsidR="00B2672A" w:rsidRDefault="00B2672A" w:rsidP="00B2672A">
      <w:pPr>
        <w:spacing w:line="240" w:lineRule="auto"/>
      </w:pPr>
      <w:r>
        <w:separator/>
      </w:r>
    </w:p>
  </w:footnote>
  <w:footnote w:type="continuationSeparator" w:id="0">
    <w:p w14:paraId="4B94D5A5" w14:textId="77777777" w:rsidR="00B2672A" w:rsidRDefault="00B2672A" w:rsidP="00B2672A">
      <w:pPr>
        <w:spacing w:line="240" w:lineRule="auto"/>
      </w:pPr>
      <w:r>
        <w:continuationSeparator/>
      </w:r>
    </w:p>
  </w:footnote>
  <w:footnote w:id="1">
    <w:p w14:paraId="18C9A84C" w14:textId="77777777" w:rsidR="00B2672A" w:rsidRPr="009F1ACA" w:rsidRDefault="00B2672A" w:rsidP="00B2672A">
      <w:pPr>
        <w:pStyle w:val="Voetnoottekst"/>
      </w:pPr>
      <w:r>
        <w:rPr>
          <w:rStyle w:val="Voetnootmarkering"/>
        </w:rPr>
        <w:footnoteRef/>
      </w:r>
      <w:r>
        <w:t xml:space="preserve"> </w:t>
      </w:r>
      <w:r w:rsidRPr="00C87750">
        <w:t>https://naturalcapitalcoalition.org/projects/combining-forces-on-natural-capital/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54D9"/>
    <w:multiLevelType w:val="hybridMultilevel"/>
    <w:tmpl w:val="8AAEE0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2A"/>
    <w:rsid w:val="000B4824"/>
    <w:rsid w:val="00105C16"/>
    <w:rsid w:val="00300E35"/>
    <w:rsid w:val="004121B6"/>
    <w:rsid w:val="00684B09"/>
    <w:rsid w:val="0077428F"/>
    <w:rsid w:val="00847AD9"/>
    <w:rsid w:val="00896F36"/>
    <w:rsid w:val="008D667F"/>
    <w:rsid w:val="00B2672A"/>
    <w:rsid w:val="00CE1115"/>
    <w:rsid w:val="00CE2DC4"/>
    <w:rsid w:val="00D32B11"/>
    <w:rsid w:val="00D97CBF"/>
    <w:rsid w:val="1F368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7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2672A"/>
    <w:pPr>
      <w:ind w:left="720"/>
      <w:contextualSpacing/>
    </w:pPr>
  </w:style>
  <w:style w:type="paragraph" w:styleId="Voetnoottekst">
    <w:name w:val="footnote text"/>
    <w:basedOn w:val="Standaard"/>
    <w:link w:val="VoetnoottekstChar"/>
    <w:uiPriority w:val="99"/>
    <w:unhideWhenUsed/>
    <w:rsid w:val="00B2672A"/>
    <w:pPr>
      <w:spacing w:line="240" w:lineRule="auto"/>
    </w:pPr>
    <w:rPr>
      <w:sz w:val="20"/>
      <w:szCs w:val="20"/>
    </w:rPr>
  </w:style>
  <w:style w:type="character" w:customStyle="1" w:styleId="VoetnoottekstChar">
    <w:name w:val="Voetnoottekst Char"/>
    <w:basedOn w:val="Standaardalinea-lettertype"/>
    <w:link w:val="Voetnoottekst"/>
    <w:uiPriority w:val="99"/>
    <w:rsid w:val="00B2672A"/>
    <w:rPr>
      <w:sz w:val="20"/>
      <w:szCs w:val="20"/>
    </w:rPr>
  </w:style>
  <w:style w:type="character" w:styleId="Voetnootmarkering">
    <w:name w:val="footnote reference"/>
    <w:basedOn w:val="Standaardalinea-lettertype"/>
    <w:uiPriority w:val="99"/>
    <w:unhideWhenUsed/>
    <w:rsid w:val="00B2672A"/>
    <w:rPr>
      <w:vertAlign w:val="superscript"/>
    </w:rPr>
  </w:style>
  <w:style w:type="table" w:customStyle="1" w:styleId="GridTable4-Accent11">
    <w:name w:val="Grid Table 4 - Accent 11"/>
    <w:basedOn w:val="Standaardtabel"/>
    <w:uiPriority w:val="49"/>
    <w:rsid w:val="00B2672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B2672A"/>
    <w:rPr>
      <w:color w:val="0000FF" w:themeColor="hyperlink"/>
      <w:u w:val="single"/>
    </w:rPr>
  </w:style>
  <w:style w:type="character" w:customStyle="1" w:styleId="LijstalineaChar">
    <w:name w:val="Lijstalinea Char"/>
    <w:basedOn w:val="Standaardalinea-lettertype"/>
    <w:link w:val="Lijstalinea"/>
    <w:uiPriority w:val="34"/>
    <w:rsid w:val="00B2672A"/>
  </w:style>
  <w:style w:type="table" w:styleId="Lichtelijst-accent1">
    <w:name w:val="Light List Accent 1"/>
    <w:basedOn w:val="Standaardtabel"/>
    <w:uiPriority w:val="61"/>
    <w:rsid w:val="008D667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7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2672A"/>
    <w:pPr>
      <w:ind w:left="720"/>
      <w:contextualSpacing/>
    </w:pPr>
  </w:style>
  <w:style w:type="paragraph" w:styleId="Voetnoottekst">
    <w:name w:val="footnote text"/>
    <w:basedOn w:val="Standaard"/>
    <w:link w:val="VoetnoottekstChar"/>
    <w:uiPriority w:val="99"/>
    <w:unhideWhenUsed/>
    <w:rsid w:val="00B2672A"/>
    <w:pPr>
      <w:spacing w:line="240" w:lineRule="auto"/>
    </w:pPr>
    <w:rPr>
      <w:sz w:val="20"/>
      <w:szCs w:val="20"/>
    </w:rPr>
  </w:style>
  <w:style w:type="character" w:customStyle="1" w:styleId="VoetnoottekstChar">
    <w:name w:val="Voetnoottekst Char"/>
    <w:basedOn w:val="Standaardalinea-lettertype"/>
    <w:link w:val="Voetnoottekst"/>
    <w:uiPriority w:val="99"/>
    <w:rsid w:val="00B2672A"/>
    <w:rPr>
      <w:sz w:val="20"/>
      <w:szCs w:val="20"/>
    </w:rPr>
  </w:style>
  <w:style w:type="character" w:styleId="Voetnootmarkering">
    <w:name w:val="footnote reference"/>
    <w:basedOn w:val="Standaardalinea-lettertype"/>
    <w:uiPriority w:val="99"/>
    <w:unhideWhenUsed/>
    <w:rsid w:val="00B2672A"/>
    <w:rPr>
      <w:vertAlign w:val="superscript"/>
    </w:rPr>
  </w:style>
  <w:style w:type="table" w:customStyle="1" w:styleId="GridTable4-Accent11">
    <w:name w:val="Grid Table 4 - Accent 11"/>
    <w:basedOn w:val="Standaardtabel"/>
    <w:uiPriority w:val="49"/>
    <w:rsid w:val="00B2672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B2672A"/>
    <w:rPr>
      <w:color w:val="0000FF" w:themeColor="hyperlink"/>
      <w:u w:val="single"/>
    </w:rPr>
  </w:style>
  <w:style w:type="character" w:customStyle="1" w:styleId="LijstalineaChar">
    <w:name w:val="Lijstalinea Char"/>
    <w:basedOn w:val="Standaardalinea-lettertype"/>
    <w:link w:val="Lijstalinea"/>
    <w:uiPriority w:val="34"/>
    <w:rsid w:val="00B2672A"/>
  </w:style>
  <w:style w:type="table" w:styleId="Lichtelijst-accent1">
    <w:name w:val="Light List Accent 1"/>
    <w:basedOn w:val="Standaardtabel"/>
    <w:uiPriority w:val="61"/>
    <w:rsid w:val="008D667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ne.Hindmarsh@environment.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spencer@ica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1652</Characters>
  <Application>Microsoft Office Word</Application>
  <DocSecurity>0</DocSecurity>
  <Lines>13</Lines>
  <Paragraphs>3</Paragraphs>
  <ScaleCrop>false</ScaleCrop>
  <Company>LNV</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ir. M.C. MA (Martin)</dc:creator>
  <cp:lastModifiedBy>Lok, ir. M.C. MA (Martin)</cp:lastModifiedBy>
  <cp:revision>5</cp:revision>
  <dcterms:created xsi:type="dcterms:W3CDTF">2018-04-19T12:46:00Z</dcterms:created>
  <dcterms:modified xsi:type="dcterms:W3CDTF">2018-05-01T06:57:00Z</dcterms:modified>
</cp:coreProperties>
</file>