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1"/>
        <w:tblW w:w="0" w:type="auto"/>
        <w:tblLook w:val="04A0" w:firstRow="1" w:lastRow="0" w:firstColumn="1" w:lastColumn="0" w:noHBand="0" w:noVBand="1"/>
      </w:tblPr>
      <w:tblGrid>
        <w:gridCol w:w="2093"/>
        <w:gridCol w:w="6924"/>
      </w:tblGrid>
      <w:tr w:rsidR="00EA0E23" w:rsidRPr="000D3801" w14:paraId="3CE2DA52" w14:textId="77777777" w:rsidTr="6AE16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05C15557" w14:textId="77777777" w:rsidR="00EA0E23" w:rsidRPr="000D3801" w:rsidRDefault="00EA0E23" w:rsidP="0014668C">
            <w:pPr>
              <w:spacing w:line="276" w:lineRule="auto"/>
              <w:rPr>
                <w:bCs w:val="0"/>
              </w:rPr>
            </w:pPr>
            <w:r w:rsidRPr="000D3801">
              <w:rPr>
                <w:bCs w:val="0"/>
              </w:rPr>
              <w:t>Works</w:t>
            </w:r>
            <w:r>
              <w:rPr>
                <w:bCs w:val="0"/>
              </w:rPr>
              <w:t>tream 3</w:t>
            </w:r>
            <w:r w:rsidRPr="000D3801">
              <w:rPr>
                <w:bCs w:val="0"/>
              </w:rPr>
              <w:t xml:space="preserve">: </w:t>
            </w:r>
            <w:r>
              <w:rPr>
                <w:bCs w:val="0"/>
              </w:rPr>
              <w:t>Narrative</w:t>
            </w:r>
          </w:p>
        </w:tc>
      </w:tr>
      <w:tr w:rsidR="00EA0E23" w14:paraId="0F0133D7" w14:textId="77777777" w:rsidTr="6AE1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61F6253D" w14:textId="77777777" w:rsidR="00EA0E23" w:rsidRPr="00D739AF" w:rsidRDefault="00EA0E23" w:rsidP="0014668C">
            <w:pPr>
              <w:spacing w:line="276" w:lineRule="auto"/>
              <w:rPr>
                <w:bCs w:val="0"/>
                <w:sz w:val="20"/>
                <w:szCs w:val="20"/>
              </w:rPr>
            </w:pPr>
            <w:r w:rsidRPr="00D739AF">
              <w:rPr>
                <w:bCs w:val="0"/>
                <w:sz w:val="20"/>
                <w:szCs w:val="20"/>
              </w:rPr>
              <w:t>Brief description</w:t>
            </w:r>
          </w:p>
          <w:p w14:paraId="391B88BE" w14:textId="77777777" w:rsidR="00EA0E23" w:rsidRDefault="00EA0E23" w:rsidP="0014668C">
            <w:pPr>
              <w:rPr>
                <w:b w:val="0"/>
                <w:bCs w:val="0"/>
                <w:sz w:val="20"/>
                <w:szCs w:val="20"/>
              </w:rPr>
            </w:pPr>
            <w:r w:rsidRPr="00974223">
              <w:rPr>
                <w:b w:val="0"/>
                <w:bCs w:val="0"/>
                <w:sz w:val="20"/>
                <w:szCs w:val="20"/>
              </w:rPr>
              <w:t>Th</w:t>
            </w:r>
            <w:r>
              <w:rPr>
                <w:b w:val="0"/>
                <w:bCs w:val="0"/>
                <w:sz w:val="20"/>
                <w:szCs w:val="20"/>
              </w:rPr>
              <w:t xml:space="preserve">is workstream focuses on the </w:t>
            </w:r>
            <w:r w:rsidRPr="00974223">
              <w:rPr>
                <w:b w:val="0"/>
                <w:bCs w:val="0"/>
                <w:sz w:val="20"/>
                <w:szCs w:val="20"/>
              </w:rPr>
              <w:t>need for a positive natural capital narrative to capitalize on the enormous potential the natural capital concept has to accelerate and guide transformative economic changes. A positive narrative would include a vision on a natural capital positive economy as well as how natural capital approaches over time will help to realize this. Such a narrative is necessary to ensure that natural capital approaches are viewed as being worthwhile, and where governments have not previously tried specific approaches before then they are encouraged to do so. The narrative should be based on robust scientific evidence, data and tools, and should align with other global initiatives such as the SDGs and 2</w:t>
            </w:r>
            <w:r w:rsidRPr="00974223">
              <w:rPr>
                <w:b w:val="0"/>
                <w:bCs w:val="0"/>
                <w:sz w:val="20"/>
                <w:szCs w:val="20"/>
                <w:vertAlign w:val="superscript"/>
              </w:rPr>
              <w:t>o</w:t>
            </w:r>
            <w:r w:rsidRPr="00974223">
              <w:rPr>
                <w:b w:val="0"/>
                <w:bCs w:val="0"/>
                <w:sz w:val="20"/>
                <w:szCs w:val="20"/>
              </w:rPr>
              <w:t>C climate target to deliver an integrated message.</w:t>
            </w:r>
            <w:r>
              <w:rPr>
                <w:b w:val="0"/>
                <w:bCs w:val="0"/>
                <w:sz w:val="20"/>
                <w:szCs w:val="20"/>
              </w:rPr>
              <w:t xml:space="preserve"> An interesting opportunity could be to collaborate with the Green Growth Knowledge Platform (GGKP), that recently launched an Expert Group on Natural Capital that also identified the development of a joint narrative as one of its priorities.</w:t>
            </w:r>
          </w:p>
          <w:p w14:paraId="672A6659" w14:textId="77777777" w:rsidR="00EA0E23" w:rsidRPr="00974223" w:rsidRDefault="00EA0E23" w:rsidP="0014668C">
            <w:pPr>
              <w:rPr>
                <w:b w:val="0"/>
                <w:bCs w:val="0"/>
                <w:sz w:val="20"/>
                <w:szCs w:val="20"/>
              </w:rPr>
            </w:pPr>
          </w:p>
        </w:tc>
      </w:tr>
      <w:tr w:rsidR="00EA0E23" w14:paraId="098E2787" w14:textId="77777777" w:rsidTr="6AE16C94">
        <w:tc>
          <w:tcPr>
            <w:cnfStyle w:val="001000000000" w:firstRow="0" w:lastRow="0" w:firstColumn="1" w:lastColumn="0" w:oddVBand="0" w:evenVBand="0" w:oddHBand="0" w:evenHBand="0" w:firstRowFirstColumn="0" w:firstRowLastColumn="0" w:lastRowFirstColumn="0" w:lastRowLastColumn="0"/>
            <w:tcW w:w="9017" w:type="dxa"/>
            <w:gridSpan w:val="2"/>
          </w:tcPr>
          <w:p w14:paraId="10F97157" w14:textId="77777777" w:rsidR="00EA0E23" w:rsidRPr="00D739AF" w:rsidRDefault="00EA0E23" w:rsidP="0014668C">
            <w:pPr>
              <w:spacing w:line="276" w:lineRule="auto"/>
              <w:rPr>
                <w:bCs w:val="0"/>
                <w:sz w:val="20"/>
                <w:szCs w:val="20"/>
              </w:rPr>
            </w:pPr>
            <w:r w:rsidRPr="00D739AF">
              <w:rPr>
                <w:bCs w:val="0"/>
                <w:sz w:val="20"/>
                <w:szCs w:val="20"/>
              </w:rPr>
              <w:t>Possible actions</w:t>
            </w:r>
          </w:p>
          <w:p w14:paraId="6042670C" w14:textId="77777777" w:rsidR="00EA0E23" w:rsidRPr="00D739AF" w:rsidRDefault="00EA0E23" w:rsidP="00EA0E23">
            <w:pPr>
              <w:pStyle w:val="Lijstalinea"/>
              <w:numPr>
                <w:ilvl w:val="0"/>
                <w:numId w:val="1"/>
              </w:numPr>
              <w:spacing w:after="80"/>
              <w:ind w:left="357" w:hanging="357"/>
              <w:contextualSpacing w:val="0"/>
              <w:rPr>
                <w:b w:val="0"/>
                <w:bCs w:val="0"/>
                <w:sz w:val="20"/>
                <w:szCs w:val="20"/>
              </w:rPr>
            </w:pPr>
            <w:r w:rsidRPr="00D739AF">
              <w:rPr>
                <w:b w:val="0"/>
                <w:bCs w:val="0"/>
                <w:sz w:val="20"/>
                <w:szCs w:val="20"/>
              </w:rPr>
              <w:t xml:space="preserve">Systematically support and promote pilot studies which demonstrate the added value of using natural capital approaches in related policy areas, like green economy, green growth, SDGs or circular economy. </w:t>
            </w:r>
          </w:p>
          <w:p w14:paraId="523D9303" w14:textId="77777777" w:rsidR="00EA0E23" w:rsidRPr="0091130D" w:rsidRDefault="00EA0E23" w:rsidP="00EA0E23">
            <w:pPr>
              <w:pStyle w:val="Lijstalinea"/>
              <w:numPr>
                <w:ilvl w:val="0"/>
                <w:numId w:val="1"/>
              </w:numPr>
              <w:spacing w:after="80"/>
              <w:ind w:left="357" w:hanging="357"/>
              <w:contextualSpacing w:val="0"/>
              <w:rPr>
                <w:sz w:val="20"/>
                <w:szCs w:val="20"/>
              </w:rPr>
            </w:pPr>
            <w:r w:rsidRPr="00D739AF">
              <w:rPr>
                <w:rFonts w:eastAsia="Times New Roman" w:cs="Times New Roman"/>
                <w:b w:val="0"/>
                <w:bCs w:val="0"/>
                <w:color w:val="000000"/>
                <w:sz w:val="20"/>
                <w:szCs w:val="20"/>
                <w:lang w:eastAsia="en-GB"/>
              </w:rPr>
              <w:t>Jointly develop an integrating vision and storyline to link natural capital, circular economy, blue/green economy and SDG concepts.</w:t>
            </w:r>
          </w:p>
          <w:p w14:paraId="503C1084" w14:textId="77777777" w:rsidR="00EA0E23" w:rsidRPr="00F92B30" w:rsidRDefault="00EA0E23" w:rsidP="00EA0E23">
            <w:pPr>
              <w:pStyle w:val="Lijstalinea"/>
              <w:numPr>
                <w:ilvl w:val="0"/>
                <w:numId w:val="1"/>
              </w:numPr>
              <w:spacing w:after="80"/>
              <w:ind w:left="357" w:hanging="357"/>
              <w:contextualSpacing w:val="0"/>
              <w:rPr>
                <w:sz w:val="20"/>
                <w:szCs w:val="20"/>
              </w:rPr>
            </w:pPr>
            <w:r w:rsidRPr="7C493813">
              <w:rPr>
                <w:rFonts w:eastAsia="Times New Roman" w:cs="Times New Roman"/>
                <w:b w:val="0"/>
                <w:bCs w:val="0"/>
                <w:color w:val="000000" w:themeColor="text1"/>
                <w:sz w:val="20"/>
                <w:szCs w:val="20"/>
                <w:lang w:eastAsia="en-GB"/>
              </w:rPr>
              <w:t>Liaise and collaborate with the GGKP-Expert Group on Natural Capital.</w:t>
            </w:r>
          </w:p>
          <w:p w14:paraId="5F4191DB" w14:textId="77777777" w:rsidR="00EA0E23" w:rsidRPr="00D739AF" w:rsidRDefault="00EA0E23" w:rsidP="00EA0E23">
            <w:pPr>
              <w:pStyle w:val="Lijstalinea"/>
              <w:numPr>
                <w:ilvl w:val="0"/>
                <w:numId w:val="1"/>
              </w:numPr>
              <w:spacing w:after="80"/>
              <w:ind w:left="357" w:hanging="357"/>
              <w:contextualSpacing w:val="0"/>
              <w:rPr>
                <w:sz w:val="20"/>
                <w:szCs w:val="20"/>
              </w:rPr>
            </w:pPr>
            <w:r>
              <w:rPr>
                <w:rFonts w:eastAsia="Times New Roman" w:cs="Times New Roman"/>
                <w:b w:val="0"/>
                <w:bCs w:val="0"/>
                <w:color w:val="000000"/>
                <w:sz w:val="20"/>
                <w:szCs w:val="20"/>
                <w:lang w:eastAsia="en-GB"/>
              </w:rPr>
              <w:t>Seek to hold the physical meeting to discuss the first draft narrative at UN PAGE Ministerial meeting, 3</w:t>
            </w:r>
            <w:r w:rsidRPr="00C6795D">
              <w:rPr>
                <w:rFonts w:eastAsia="Times New Roman" w:cs="Times New Roman"/>
                <w:b w:val="0"/>
                <w:bCs w:val="0"/>
                <w:color w:val="000000"/>
                <w:sz w:val="20"/>
                <w:szCs w:val="20"/>
                <w:vertAlign w:val="superscript"/>
                <w:lang w:eastAsia="en-GB"/>
              </w:rPr>
              <w:t>rd</w:t>
            </w:r>
            <w:r>
              <w:rPr>
                <w:rFonts w:eastAsia="Times New Roman" w:cs="Times New Roman"/>
                <w:b w:val="0"/>
                <w:bCs w:val="0"/>
                <w:color w:val="000000"/>
                <w:sz w:val="20"/>
                <w:szCs w:val="20"/>
                <w:lang w:eastAsia="en-GB"/>
              </w:rPr>
              <w:t xml:space="preserve"> and 4</w:t>
            </w:r>
            <w:r w:rsidRPr="00C6795D">
              <w:rPr>
                <w:rFonts w:eastAsia="Times New Roman" w:cs="Times New Roman"/>
                <w:b w:val="0"/>
                <w:bCs w:val="0"/>
                <w:color w:val="000000"/>
                <w:sz w:val="20"/>
                <w:szCs w:val="20"/>
                <w:vertAlign w:val="superscript"/>
                <w:lang w:eastAsia="en-GB"/>
              </w:rPr>
              <w:t>th</w:t>
            </w:r>
            <w:r>
              <w:rPr>
                <w:rFonts w:eastAsia="Times New Roman" w:cs="Times New Roman"/>
                <w:b w:val="0"/>
                <w:bCs w:val="0"/>
                <w:color w:val="000000"/>
                <w:sz w:val="20"/>
                <w:szCs w:val="20"/>
                <w:lang w:eastAsia="en-GB"/>
              </w:rPr>
              <w:t xml:space="preserve"> September, Durban, South Africa.</w:t>
            </w:r>
            <w:r>
              <w:br/>
            </w:r>
          </w:p>
        </w:tc>
      </w:tr>
      <w:tr w:rsidR="00F74F3A" w14:paraId="39842673" w14:textId="77777777" w:rsidTr="6AE1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il"/>
            </w:tcBorders>
          </w:tcPr>
          <w:p w14:paraId="7C3F6F86" w14:textId="77777777" w:rsidR="00F74F3A" w:rsidRDefault="00F74F3A" w:rsidP="00CC2A14">
            <w:pPr>
              <w:spacing w:line="276" w:lineRule="auto"/>
              <w:rPr>
                <w:bCs w:val="0"/>
                <w:sz w:val="20"/>
                <w:szCs w:val="20"/>
              </w:rPr>
            </w:pPr>
            <w:r w:rsidRPr="00D739AF">
              <w:rPr>
                <w:bCs w:val="0"/>
                <w:sz w:val="20"/>
                <w:szCs w:val="20"/>
              </w:rPr>
              <w:t>Working Group</w:t>
            </w:r>
          </w:p>
          <w:p w14:paraId="28A65766" w14:textId="77777777" w:rsidR="00F74F3A" w:rsidRPr="008802E0" w:rsidRDefault="00F74F3A" w:rsidP="00CC2A14">
            <w:pPr>
              <w:spacing w:line="276" w:lineRule="auto"/>
              <w:rPr>
                <w:b w:val="0"/>
                <w:i/>
                <w:sz w:val="20"/>
                <w:szCs w:val="20"/>
              </w:rPr>
            </w:pPr>
            <w:r w:rsidRPr="008802E0">
              <w:rPr>
                <w:b w:val="0"/>
                <w:i/>
                <w:sz w:val="20"/>
                <w:szCs w:val="20"/>
              </w:rPr>
              <w:t xml:space="preserve">Lead-country </w:t>
            </w:r>
          </w:p>
          <w:p w14:paraId="1073B74E" w14:textId="77777777" w:rsidR="00F74F3A" w:rsidRPr="008802E0" w:rsidRDefault="00F74F3A" w:rsidP="00CC2A14">
            <w:pPr>
              <w:spacing w:line="276" w:lineRule="auto"/>
              <w:rPr>
                <w:b w:val="0"/>
                <w:i/>
                <w:sz w:val="20"/>
                <w:szCs w:val="20"/>
              </w:rPr>
            </w:pPr>
            <w:r w:rsidRPr="008802E0">
              <w:rPr>
                <w:b w:val="0"/>
                <w:i/>
                <w:sz w:val="20"/>
                <w:szCs w:val="20"/>
              </w:rPr>
              <w:t>Lead-partner</w:t>
            </w:r>
          </w:p>
          <w:p w14:paraId="424BD73E" w14:textId="77777777" w:rsidR="00F74F3A" w:rsidRPr="008802E0" w:rsidRDefault="00F74F3A" w:rsidP="00CC2A14">
            <w:pPr>
              <w:spacing w:line="276" w:lineRule="auto"/>
              <w:rPr>
                <w:b w:val="0"/>
                <w:i/>
                <w:sz w:val="20"/>
                <w:szCs w:val="20"/>
              </w:rPr>
            </w:pPr>
          </w:p>
          <w:p w14:paraId="728D504B" w14:textId="77777777" w:rsidR="00F74F3A" w:rsidRPr="008802E0" w:rsidRDefault="00F74F3A" w:rsidP="00CC2A14">
            <w:pPr>
              <w:spacing w:line="276" w:lineRule="auto"/>
              <w:rPr>
                <w:b w:val="0"/>
                <w:i/>
                <w:sz w:val="20"/>
                <w:szCs w:val="20"/>
              </w:rPr>
            </w:pPr>
            <w:r w:rsidRPr="008802E0">
              <w:rPr>
                <w:b w:val="0"/>
                <w:i/>
                <w:sz w:val="20"/>
                <w:szCs w:val="20"/>
              </w:rPr>
              <w:t>Participants</w:t>
            </w:r>
          </w:p>
          <w:p w14:paraId="5DAB6C7B" w14:textId="77777777" w:rsidR="00F74F3A" w:rsidRPr="00D739AF" w:rsidRDefault="00F74F3A" w:rsidP="0014668C">
            <w:pPr>
              <w:spacing w:line="276" w:lineRule="auto"/>
              <w:rPr>
                <w:b w:val="0"/>
                <w:sz w:val="20"/>
                <w:szCs w:val="20"/>
              </w:rPr>
            </w:pPr>
          </w:p>
        </w:tc>
        <w:tc>
          <w:tcPr>
            <w:tcW w:w="6924" w:type="dxa"/>
            <w:tcBorders>
              <w:left w:val="nil"/>
            </w:tcBorders>
          </w:tcPr>
          <w:p w14:paraId="324E473B" w14:textId="77777777" w:rsidR="00F74F3A" w:rsidRDefault="00F74F3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p>
          <w:p w14:paraId="000F7130" w14:textId="77777777" w:rsidR="00F74F3A" w:rsidRDefault="00F74F3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Netherlands</w:t>
            </w:r>
          </w:p>
          <w:p w14:paraId="6B75EE3D" w14:textId="77777777" w:rsidR="00F74F3A" w:rsidRDefault="00F74F3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Green Economy Coalition </w:t>
            </w:r>
            <w:r>
              <w:rPr>
                <w:bCs/>
                <w:sz w:val="20"/>
                <w:szCs w:val="20"/>
              </w:rPr>
              <w:br/>
              <w:t>World Bank Group</w:t>
            </w:r>
          </w:p>
          <w:p w14:paraId="26419605" w14:textId="77777777" w:rsidR="00F74F3A" w:rsidRPr="006B7D83" w:rsidRDefault="00F74F3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Germany, </w:t>
            </w:r>
            <w:r w:rsidRPr="006B7D83">
              <w:rPr>
                <w:bCs/>
                <w:sz w:val="20"/>
                <w:szCs w:val="20"/>
              </w:rPr>
              <w:t>Ghana, Japan, Netherlands, Nigeria, South Africa, United Kingdom</w:t>
            </w:r>
          </w:p>
          <w:p w14:paraId="3D2508AC" w14:textId="77777777" w:rsidR="00F74F3A" w:rsidRDefault="00F74F3A" w:rsidP="00CC2A14">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CISL, European Commission, </w:t>
            </w:r>
            <w:r w:rsidRPr="006B7D83">
              <w:rPr>
                <w:bCs/>
                <w:sz w:val="20"/>
                <w:szCs w:val="20"/>
              </w:rPr>
              <w:t>ICAEW</w:t>
            </w:r>
            <w:r>
              <w:rPr>
                <w:bCs/>
                <w:sz w:val="20"/>
                <w:szCs w:val="20"/>
              </w:rPr>
              <w:t xml:space="preserve">, IUCN, </w:t>
            </w:r>
            <w:r w:rsidRPr="006B7D83">
              <w:rPr>
                <w:bCs/>
                <w:sz w:val="20"/>
                <w:szCs w:val="20"/>
              </w:rPr>
              <w:t>NCC</w:t>
            </w:r>
          </w:p>
          <w:p w14:paraId="5A39BBE3" w14:textId="77777777" w:rsidR="00F74F3A" w:rsidRPr="00D739AF" w:rsidRDefault="00F74F3A" w:rsidP="0014668C">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p>
        </w:tc>
      </w:tr>
      <w:tr w:rsidR="00EA0E23" w:rsidRPr="000D0A2C" w14:paraId="6D52F144" w14:textId="77777777" w:rsidTr="6AE16C94">
        <w:tc>
          <w:tcPr>
            <w:cnfStyle w:val="001000000000" w:firstRow="0" w:lastRow="0" w:firstColumn="1" w:lastColumn="0" w:oddVBand="0" w:evenVBand="0" w:oddHBand="0" w:evenHBand="0" w:firstRowFirstColumn="0" w:firstRowLastColumn="0" w:lastRowFirstColumn="0" w:lastRowLastColumn="0"/>
            <w:tcW w:w="9017" w:type="dxa"/>
            <w:gridSpan w:val="2"/>
          </w:tcPr>
          <w:p w14:paraId="446C5AC2" w14:textId="77777777" w:rsidR="00EA0E23" w:rsidRDefault="00EA0E23" w:rsidP="0014668C">
            <w:pPr>
              <w:spacing w:line="276" w:lineRule="auto"/>
              <w:rPr>
                <w:bCs w:val="0"/>
                <w:sz w:val="20"/>
                <w:szCs w:val="20"/>
              </w:rPr>
            </w:pPr>
            <w:r>
              <w:rPr>
                <w:bCs w:val="0"/>
                <w:sz w:val="20"/>
                <w:szCs w:val="20"/>
              </w:rPr>
              <w:t>Governments and partners to be informed</w:t>
            </w:r>
          </w:p>
          <w:p w14:paraId="396BF704" w14:textId="7AE3E9C2" w:rsidR="00EA0E23" w:rsidRDefault="00EA0E23" w:rsidP="0014668C">
            <w:pPr>
              <w:spacing w:line="276" w:lineRule="auto"/>
              <w:rPr>
                <w:b w:val="0"/>
                <w:sz w:val="20"/>
                <w:szCs w:val="20"/>
                <w:lang w:val="it-IT"/>
              </w:rPr>
            </w:pPr>
            <w:r w:rsidRPr="007B3366">
              <w:rPr>
                <w:b w:val="0"/>
                <w:sz w:val="20"/>
                <w:szCs w:val="20"/>
                <w:lang w:val="it-IT"/>
              </w:rPr>
              <w:t>Australia</w:t>
            </w:r>
            <w:r>
              <w:rPr>
                <w:b w:val="0"/>
                <w:sz w:val="20"/>
                <w:szCs w:val="20"/>
                <w:lang w:val="it-IT"/>
              </w:rPr>
              <w:t xml:space="preserve">, </w:t>
            </w:r>
            <w:r w:rsidRPr="00782F91">
              <w:rPr>
                <w:b w:val="0"/>
                <w:sz w:val="20"/>
                <w:szCs w:val="20"/>
                <w:lang w:val="it-IT"/>
              </w:rPr>
              <w:t>France</w:t>
            </w:r>
            <w:r>
              <w:rPr>
                <w:b w:val="0"/>
                <w:sz w:val="20"/>
                <w:szCs w:val="20"/>
                <w:lang w:val="it-IT"/>
              </w:rPr>
              <w:t xml:space="preserve">, </w:t>
            </w:r>
            <w:r w:rsidRPr="007B3366">
              <w:rPr>
                <w:b w:val="0"/>
                <w:sz w:val="20"/>
                <w:szCs w:val="20"/>
                <w:lang w:val="it-IT"/>
              </w:rPr>
              <w:t>Malaysia</w:t>
            </w:r>
            <w:r>
              <w:rPr>
                <w:b w:val="0"/>
                <w:sz w:val="20"/>
                <w:szCs w:val="20"/>
                <w:lang w:val="it-IT"/>
              </w:rPr>
              <w:t xml:space="preserve">, </w:t>
            </w:r>
            <w:r w:rsidRPr="007B3366">
              <w:rPr>
                <w:b w:val="0"/>
                <w:sz w:val="20"/>
                <w:szCs w:val="20"/>
                <w:lang w:val="it-IT"/>
              </w:rPr>
              <w:t>Namibia</w:t>
            </w:r>
          </w:p>
          <w:p w14:paraId="41C8F396" w14:textId="77777777" w:rsidR="00EA0E23" w:rsidRPr="007B3366" w:rsidRDefault="00EA0E23" w:rsidP="0014668C">
            <w:pPr>
              <w:spacing w:line="276" w:lineRule="auto"/>
              <w:rPr>
                <w:b w:val="0"/>
                <w:sz w:val="20"/>
                <w:szCs w:val="20"/>
                <w:lang w:val="it-IT"/>
              </w:rPr>
            </w:pPr>
          </w:p>
        </w:tc>
      </w:tr>
      <w:tr w:rsidR="00EA0E23" w14:paraId="58AEC45A" w14:textId="77777777" w:rsidTr="6AE1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14:paraId="150ECBE8" w14:textId="77777777" w:rsidR="00BE6E4A" w:rsidRDefault="00BE6E4A" w:rsidP="00BE6E4A">
            <w:pPr>
              <w:spacing w:line="276" w:lineRule="auto"/>
              <w:rPr>
                <w:bCs w:val="0"/>
                <w:sz w:val="20"/>
                <w:szCs w:val="20"/>
              </w:rPr>
            </w:pPr>
            <w:r w:rsidRPr="00D739AF">
              <w:rPr>
                <w:bCs w:val="0"/>
                <w:sz w:val="20"/>
                <w:szCs w:val="20"/>
              </w:rPr>
              <w:t>Contact</w:t>
            </w:r>
          </w:p>
          <w:p w14:paraId="73B1381A" w14:textId="77777777" w:rsidR="00BE6E4A" w:rsidRDefault="00BE6E4A" w:rsidP="00BE6E4A">
            <w:pPr>
              <w:spacing w:line="276" w:lineRule="auto"/>
              <w:rPr>
                <w:b w:val="0"/>
                <w:sz w:val="20"/>
                <w:szCs w:val="20"/>
              </w:rPr>
            </w:pPr>
            <w:r w:rsidRPr="00A15D3A">
              <w:rPr>
                <w:b w:val="0"/>
                <w:sz w:val="20"/>
                <w:szCs w:val="20"/>
              </w:rPr>
              <w:t>If you want to engage in this workstream, please send an email to</w:t>
            </w:r>
            <w:r>
              <w:rPr>
                <w:b w:val="0"/>
                <w:sz w:val="20"/>
                <w:szCs w:val="20"/>
              </w:rPr>
              <w:t>:</w:t>
            </w:r>
          </w:p>
          <w:p w14:paraId="70C23FD1" w14:textId="77777777" w:rsidR="00BE6E4A" w:rsidRPr="003C265A" w:rsidRDefault="00BE6E4A" w:rsidP="00BE6E4A">
            <w:pPr>
              <w:spacing w:line="276" w:lineRule="auto"/>
              <w:rPr>
                <w:bCs w:val="0"/>
                <w:sz w:val="20"/>
                <w:szCs w:val="20"/>
              </w:rPr>
            </w:pPr>
            <w:hyperlink r:id="rId6" w:history="1">
              <w:r w:rsidRPr="003C265A">
                <w:rPr>
                  <w:rStyle w:val="Hyperlink"/>
                  <w:sz w:val="20"/>
                  <w:szCs w:val="20"/>
                </w:rPr>
                <w:t>m.c.lok@minez.nl</w:t>
              </w:r>
            </w:hyperlink>
          </w:p>
          <w:p w14:paraId="67173739" w14:textId="77777777" w:rsidR="00BE6E4A" w:rsidRPr="003C265A" w:rsidRDefault="00BE6E4A" w:rsidP="00BE6E4A">
            <w:pPr>
              <w:spacing w:line="276" w:lineRule="auto"/>
              <w:rPr>
                <w:sz w:val="20"/>
                <w:szCs w:val="20"/>
              </w:rPr>
            </w:pPr>
            <w:hyperlink r:id="rId7" w:history="1">
              <w:r w:rsidRPr="003C265A">
                <w:rPr>
                  <w:rStyle w:val="Hyperlink"/>
                  <w:sz w:val="20"/>
                  <w:szCs w:val="20"/>
                </w:rPr>
                <w:t>oliver.greenfield@greeneconomycoalition.org</w:t>
              </w:r>
            </w:hyperlink>
            <w:r w:rsidRPr="003C265A">
              <w:rPr>
                <w:bCs w:val="0"/>
                <w:sz w:val="20"/>
                <w:szCs w:val="20"/>
              </w:rPr>
              <w:t xml:space="preserve"> </w:t>
            </w:r>
            <w:r w:rsidRPr="003C265A">
              <w:rPr>
                <w:sz w:val="20"/>
                <w:szCs w:val="20"/>
              </w:rPr>
              <w:t xml:space="preserve"> </w:t>
            </w:r>
          </w:p>
          <w:p w14:paraId="44912C03" w14:textId="00AE811E" w:rsidR="00EA0E23" w:rsidRPr="00D739AF" w:rsidRDefault="00BE6E4A" w:rsidP="00BE6E4A">
            <w:pPr>
              <w:spacing w:line="276" w:lineRule="auto"/>
              <w:rPr>
                <w:bCs w:val="0"/>
                <w:sz w:val="20"/>
                <w:szCs w:val="20"/>
              </w:rPr>
            </w:pPr>
            <w:hyperlink r:id="rId8" w:history="1">
              <w:r w:rsidRPr="003C265A">
                <w:rPr>
                  <w:rStyle w:val="Hyperlink"/>
                  <w:sz w:val="20"/>
                  <w:szCs w:val="20"/>
                </w:rPr>
                <w:t>sahlroth@worldbank.org</w:t>
              </w:r>
            </w:hyperlink>
          </w:p>
        </w:tc>
      </w:tr>
    </w:tbl>
    <w:p w14:paraId="72A3D3EC" w14:textId="77777777" w:rsidR="00847AD9" w:rsidRPr="00EA0E23" w:rsidRDefault="00847AD9">
      <w:pPr>
        <w:rPr>
          <w:rFonts w:ascii="Verdana" w:hAnsi="Verdana"/>
          <w:sz w:val="18"/>
          <w:szCs w:val="18"/>
        </w:rPr>
      </w:pPr>
      <w:bookmarkStart w:id="0" w:name="_GoBack"/>
      <w:bookmarkEnd w:id="0"/>
    </w:p>
    <w:sectPr w:rsidR="00847AD9" w:rsidRPr="00EA0E23" w:rsidSect="00300E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5D91"/>
    <w:multiLevelType w:val="hybridMultilevel"/>
    <w:tmpl w:val="8FA4F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23"/>
    <w:rsid w:val="000B4824"/>
    <w:rsid w:val="00105C16"/>
    <w:rsid w:val="00300E35"/>
    <w:rsid w:val="004121B6"/>
    <w:rsid w:val="00847AD9"/>
    <w:rsid w:val="00896F36"/>
    <w:rsid w:val="00BE6E4A"/>
    <w:rsid w:val="00CE1115"/>
    <w:rsid w:val="00D32B11"/>
    <w:rsid w:val="00EA0E23"/>
    <w:rsid w:val="00F74F3A"/>
    <w:rsid w:val="6AE1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E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A0E23"/>
    <w:pPr>
      <w:ind w:left="720"/>
      <w:contextualSpacing/>
    </w:pPr>
  </w:style>
  <w:style w:type="table" w:customStyle="1" w:styleId="GridTable4-Accent11">
    <w:name w:val="Grid Table 4 - Accent 11"/>
    <w:basedOn w:val="Standaardtabel"/>
    <w:uiPriority w:val="49"/>
    <w:rsid w:val="00EA0E2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EA0E23"/>
    <w:rPr>
      <w:color w:val="0000FF" w:themeColor="hyperlink"/>
      <w:u w:val="single"/>
    </w:rPr>
  </w:style>
  <w:style w:type="character" w:customStyle="1" w:styleId="LijstalineaChar">
    <w:name w:val="Lijstalinea Char"/>
    <w:basedOn w:val="Standaardalinea-lettertype"/>
    <w:link w:val="Lijstalinea"/>
    <w:uiPriority w:val="34"/>
    <w:rsid w:val="00EA0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E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A0E23"/>
    <w:pPr>
      <w:ind w:left="720"/>
      <w:contextualSpacing/>
    </w:pPr>
  </w:style>
  <w:style w:type="table" w:customStyle="1" w:styleId="GridTable4-Accent11">
    <w:name w:val="Grid Table 4 - Accent 11"/>
    <w:basedOn w:val="Standaardtabel"/>
    <w:uiPriority w:val="49"/>
    <w:rsid w:val="00EA0E2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EA0E23"/>
    <w:rPr>
      <w:color w:val="0000FF" w:themeColor="hyperlink"/>
      <w:u w:val="single"/>
    </w:rPr>
  </w:style>
  <w:style w:type="character" w:customStyle="1" w:styleId="LijstalineaChar">
    <w:name w:val="Lijstalinea Char"/>
    <w:basedOn w:val="Standaardalinea-lettertype"/>
    <w:link w:val="Lijstalinea"/>
    <w:uiPriority w:val="34"/>
    <w:rsid w:val="00EA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lroth@worldbank.org" TargetMode="External"/><Relationship Id="rId3" Type="http://schemas.microsoft.com/office/2007/relationships/stylesWithEffects" Target="stylesWithEffects.xml"/><Relationship Id="rId7" Type="http://schemas.openxmlformats.org/officeDocument/2006/relationships/hyperlink" Target="mailto:oliver.greenfield@greeneconomy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ok@minez.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1918</Characters>
  <Application>Microsoft Office Word</Application>
  <DocSecurity>0</DocSecurity>
  <Lines>15</Lines>
  <Paragraphs>4</Paragraphs>
  <ScaleCrop>false</ScaleCrop>
  <Company>LNV</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ir. M.C. MA (Martin)</dc:creator>
  <cp:lastModifiedBy>Lok, ir. M.C. MA (Martin)</cp:lastModifiedBy>
  <cp:revision>4</cp:revision>
  <dcterms:created xsi:type="dcterms:W3CDTF">2018-04-19T13:29:00Z</dcterms:created>
  <dcterms:modified xsi:type="dcterms:W3CDTF">2018-05-01T06:59:00Z</dcterms:modified>
</cp:coreProperties>
</file>